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1A6C" w14:textId="77777777" w:rsidR="009C070A" w:rsidRPr="009C070A" w:rsidRDefault="009C070A" w:rsidP="009C070A">
      <w:pPr>
        <w:spacing w:after="0"/>
        <w:jc w:val="center"/>
        <w:rPr>
          <w:b/>
          <w:bCs/>
          <w:i/>
          <w:sz w:val="24"/>
          <w:szCs w:val="24"/>
        </w:rPr>
      </w:pPr>
    </w:p>
    <w:p w14:paraId="0CD3473A" w14:textId="77777777" w:rsidR="009C070A" w:rsidRPr="009C070A" w:rsidRDefault="009C070A" w:rsidP="009C070A">
      <w:pPr>
        <w:spacing w:after="0"/>
        <w:jc w:val="center"/>
        <w:rPr>
          <w:b/>
          <w:bCs/>
          <w:i/>
          <w:sz w:val="24"/>
          <w:szCs w:val="24"/>
        </w:rPr>
      </w:pPr>
      <w:r w:rsidRPr="009C070A">
        <w:rPr>
          <w:b/>
          <w:bCs/>
          <w:i/>
          <w:sz w:val="24"/>
          <w:szCs w:val="24"/>
        </w:rPr>
        <w:t xml:space="preserve">Invitation to expression of interest for candidate entities to be entrusted with the implementation of IPA 2021 support in the sector of energy: “EU4Energy: </w:t>
      </w:r>
    </w:p>
    <w:p w14:paraId="20603312" w14:textId="270D1C3E" w:rsidR="009C070A" w:rsidRPr="009C070A" w:rsidRDefault="009C070A" w:rsidP="009C070A">
      <w:pPr>
        <w:spacing w:after="0"/>
        <w:jc w:val="center"/>
        <w:rPr>
          <w:rFonts w:eastAsia="Calibri"/>
          <w:smallCaps/>
          <w:sz w:val="24"/>
          <w:szCs w:val="24"/>
        </w:rPr>
      </w:pPr>
      <w:r w:rsidRPr="009C070A">
        <w:rPr>
          <w:b/>
          <w:bCs/>
          <w:i/>
          <w:sz w:val="24"/>
          <w:szCs w:val="24"/>
        </w:rPr>
        <w:t>Component 1 - Implementation of energy efficiency projects/programmes in the public sector</w:t>
      </w:r>
      <w:r w:rsidR="00114D17">
        <w:rPr>
          <w:smallCaps/>
          <w:sz w:val="24"/>
          <w:szCs w:val="24"/>
        </w:rPr>
        <w:t xml:space="preserve"> </w:t>
      </w:r>
      <w:r w:rsidR="00114D17" w:rsidRPr="00114D17">
        <w:rPr>
          <w:b/>
          <w:bCs/>
          <w:i/>
          <w:sz w:val="24"/>
          <w:szCs w:val="24"/>
        </w:rPr>
        <w:t xml:space="preserve">and </w:t>
      </w:r>
      <w:r w:rsidR="00114D17">
        <w:rPr>
          <w:b/>
          <w:bCs/>
          <w:i/>
          <w:sz w:val="24"/>
          <w:szCs w:val="24"/>
        </w:rPr>
        <w:t>Component 2 - I</w:t>
      </w:r>
      <w:r w:rsidR="00114D17" w:rsidRPr="00114D17">
        <w:rPr>
          <w:b/>
          <w:bCs/>
          <w:i/>
          <w:sz w:val="24"/>
          <w:szCs w:val="24"/>
        </w:rPr>
        <w:t>mplementation of sustainable energy projects/programmes in local communities</w:t>
      </w:r>
    </w:p>
    <w:p w14:paraId="2593F974" w14:textId="77777777" w:rsidR="009C070A" w:rsidRPr="009C070A" w:rsidRDefault="009C070A" w:rsidP="009C070A">
      <w:pPr>
        <w:rPr>
          <w:b/>
          <w:sz w:val="24"/>
          <w:szCs w:val="24"/>
          <w:lang w:eastAsia="en-GB"/>
        </w:rPr>
      </w:pPr>
    </w:p>
    <w:p w14:paraId="19CD686E" w14:textId="7D754614" w:rsidR="00114D17" w:rsidRPr="009C070A" w:rsidRDefault="00114D17" w:rsidP="00114D17">
      <w:pPr>
        <w:jc w:val="center"/>
        <w:rPr>
          <w:b/>
          <w:sz w:val="32"/>
          <w:szCs w:val="28"/>
          <w:lang w:eastAsia="en-GB"/>
        </w:rPr>
      </w:pPr>
      <w:r w:rsidRPr="008B4788">
        <w:rPr>
          <w:b/>
          <w:sz w:val="32"/>
          <w:szCs w:val="28"/>
          <w:lang w:eastAsia="en-GB"/>
        </w:rPr>
        <w:t xml:space="preserve">Clarification No 1 - Call for expression of interest - "EU4 Energy – Components </w:t>
      </w:r>
      <w:r>
        <w:rPr>
          <w:b/>
          <w:sz w:val="32"/>
          <w:szCs w:val="28"/>
          <w:lang w:eastAsia="en-GB"/>
        </w:rPr>
        <w:t>1</w:t>
      </w:r>
      <w:r w:rsidRPr="008B4788">
        <w:rPr>
          <w:b/>
          <w:sz w:val="32"/>
          <w:szCs w:val="28"/>
          <w:lang w:eastAsia="en-GB"/>
        </w:rPr>
        <w:t xml:space="preserve"> and </w:t>
      </w:r>
      <w:r>
        <w:rPr>
          <w:b/>
          <w:sz w:val="32"/>
          <w:szCs w:val="28"/>
          <w:lang w:eastAsia="en-GB"/>
        </w:rPr>
        <w:t>2</w:t>
      </w:r>
      <w:r w:rsidRPr="008B4788">
        <w:rPr>
          <w:b/>
          <w:sz w:val="32"/>
          <w:szCs w:val="28"/>
          <w:lang w:eastAsia="en-GB"/>
        </w:rPr>
        <w:t>” IPA 2021</w:t>
      </w:r>
    </w:p>
    <w:p w14:paraId="782BF3C3" w14:textId="77777777" w:rsidR="00114D17" w:rsidRPr="009C070A" w:rsidRDefault="00114D17" w:rsidP="00114D17">
      <w:pPr>
        <w:rPr>
          <w:b/>
          <w:bCs/>
          <w:color w:val="1F497D"/>
          <w:sz w:val="24"/>
        </w:rPr>
      </w:pPr>
    </w:p>
    <w:p w14:paraId="49337BB2" w14:textId="77777777" w:rsidR="00114D17" w:rsidRPr="009C070A" w:rsidRDefault="00114D17" w:rsidP="00114D17">
      <w:pPr>
        <w:jc w:val="both"/>
        <w:rPr>
          <w:b/>
          <w:bCs/>
          <w:color w:val="000000" w:themeColor="text1"/>
          <w:sz w:val="24"/>
        </w:rPr>
      </w:pPr>
      <w:r w:rsidRPr="009C070A">
        <w:rPr>
          <w:b/>
          <w:bCs/>
          <w:color w:val="000000" w:themeColor="text1"/>
          <w:sz w:val="24"/>
        </w:rPr>
        <w:t>Q: Description of related tasks for Component 1 says: Pilot projects, such as the Pilot project for future Europe House that is located in the “</w:t>
      </w:r>
      <w:proofErr w:type="spellStart"/>
      <w:r w:rsidRPr="009C070A">
        <w:rPr>
          <w:b/>
          <w:bCs/>
          <w:color w:val="000000" w:themeColor="text1"/>
          <w:sz w:val="24"/>
        </w:rPr>
        <w:t>Vječna</w:t>
      </w:r>
      <w:proofErr w:type="spellEnd"/>
      <w:r w:rsidRPr="009C070A">
        <w:rPr>
          <w:b/>
          <w:bCs/>
          <w:color w:val="000000" w:themeColor="text1"/>
          <w:sz w:val="24"/>
        </w:rPr>
        <w:t xml:space="preserve"> </w:t>
      </w:r>
      <w:proofErr w:type="spellStart"/>
      <w:r w:rsidRPr="009C070A">
        <w:rPr>
          <w:b/>
          <w:bCs/>
          <w:color w:val="000000" w:themeColor="text1"/>
          <w:sz w:val="24"/>
        </w:rPr>
        <w:t>Vatra</w:t>
      </w:r>
      <w:proofErr w:type="spellEnd"/>
      <w:r w:rsidRPr="009C070A">
        <w:rPr>
          <w:b/>
          <w:bCs/>
          <w:color w:val="000000" w:themeColor="text1"/>
          <w:sz w:val="24"/>
        </w:rPr>
        <w:t>” building in Sarajevo will be implemented at a local level. Project documentation with all necessary permits and consents from competent entities related to reconstruction of the facade, exterior joinery and roof of future Europe House that will be located in the “</w:t>
      </w:r>
      <w:proofErr w:type="spellStart"/>
      <w:r w:rsidRPr="009C070A">
        <w:rPr>
          <w:b/>
          <w:bCs/>
          <w:color w:val="000000" w:themeColor="text1"/>
          <w:sz w:val="24"/>
        </w:rPr>
        <w:t>Vječna</w:t>
      </w:r>
      <w:proofErr w:type="spellEnd"/>
      <w:r w:rsidRPr="009C070A">
        <w:rPr>
          <w:b/>
          <w:bCs/>
          <w:color w:val="000000" w:themeColor="text1"/>
          <w:sz w:val="24"/>
        </w:rPr>
        <w:t xml:space="preserve"> </w:t>
      </w:r>
      <w:proofErr w:type="spellStart"/>
      <w:r w:rsidRPr="009C070A">
        <w:rPr>
          <w:b/>
          <w:bCs/>
          <w:color w:val="000000" w:themeColor="text1"/>
          <w:sz w:val="24"/>
        </w:rPr>
        <w:t>Vatra</w:t>
      </w:r>
      <w:proofErr w:type="spellEnd"/>
      <w:r w:rsidRPr="009C070A">
        <w:rPr>
          <w:b/>
          <w:bCs/>
          <w:color w:val="000000" w:themeColor="text1"/>
          <w:sz w:val="24"/>
        </w:rPr>
        <w:t>” building will be available and delivered to the implementing partner.</w:t>
      </w:r>
    </w:p>
    <w:p w14:paraId="571D3F3E" w14:textId="77777777" w:rsidR="00114D17" w:rsidRPr="009C070A" w:rsidRDefault="00114D17" w:rsidP="00114D17">
      <w:pPr>
        <w:jc w:val="both"/>
        <w:rPr>
          <w:b/>
          <w:bCs/>
          <w:color w:val="000000" w:themeColor="text1"/>
          <w:sz w:val="24"/>
        </w:rPr>
      </w:pPr>
      <w:r w:rsidRPr="009C070A">
        <w:rPr>
          <w:b/>
          <w:bCs/>
          <w:color w:val="000000" w:themeColor="text1"/>
          <w:sz w:val="24"/>
        </w:rPr>
        <w:t xml:space="preserve">Could you please provide further </w:t>
      </w:r>
      <w:proofErr w:type="gramStart"/>
      <w:r w:rsidRPr="009C070A">
        <w:rPr>
          <w:b/>
          <w:bCs/>
          <w:color w:val="000000" w:themeColor="text1"/>
          <w:sz w:val="24"/>
        </w:rPr>
        <w:t>information:</w:t>
      </w:r>
      <w:proofErr w:type="gramEnd"/>
    </w:p>
    <w:p w14:paraId="181016BA" w14:textId="77777777" w:rsidR="00114D17" w:rsidRPr="009C070A" w:rsidRDefault="00114D17" w:rsidP="00114D17">
      <w:pPr>
        <w:jc w:val="both"/>
        <w:rPr>
          <w:b/>
          <w:bCs/>
          <w:color w:val="000000" w:themeColor="text1"/>
          <w:sz w:val="24"/>
        </w:rPr>
      </w:pPr>
      <w:r w:rsidRPr="009C070A">
        <w:rPr>
          <w:b/>
          <w:bCs/>
          <w:color w:val="000000" w:themeColor="text1"/>
          <w:sz w:val="24"/>
        </w:rPr>
        <w:t>Q1: About estimated costs of the reconstruction of the facade, exterior joinery and roof of future Europe House</w:t>
      </w:r>
    </w:p>
    <w:p w14:paraId="3C4491F2" w14:textId="77777777" w:rsidR="00114D17" w:rsidRPr="009C070A" w:rsidRDefault="00114D17" w:rsidP="00114D17">
      <w:pPr>
        <w:jc w:val="both"/>
        <w:rPr>
          <w:bCs/>
          <w:i/>
          <w:color w:val="000000" w:themeColor="text1"/>
          <w:sz w:val="24"/>
        </w:rPr>
      </w:pPr>
      <w:r w:rsidRPr="009C070A">
        <w:rPr>
          <w:bCs/>
          <w:i/>
          <w:color w:val="000000" w:themeColor="text1"/>
          <w:sz w:val="24"/>
        </w:rPr>
        <w:t>A1: Costs of the reconstruction of the facade, exterior joinery and roof of future Europe House that is located in the “</w:t>
      </w:r>
      <w:proofErr w:type="spellStart"/>
      <w:r w:rsidRPr="009C070A">
        <w:rPr>
          <w:bCs/>
          <w:i/>
          <w:color w:val="000000" w:themeColor="text1"/>
          <w:sz w:val="24"/>
        </w:rPr>
        <w:t>Vječna</w:t>
      </w:r>
      <w:proofErr w:type="spellEnd"/>
      <w:r w:rsidRPr="009C070A">
        <w:rPr>
          <w:bCs/>
          <w:i/>
          <w:color w:val="000000" w:themeColor="text1"/>
          <w:sz w:val="24"/>
        </w:rPr>
        <w:t xml:space="preserve"> </w:t>
      </w:r>
      <w:proofErr w:type="spellStart"/>
      <w:r w:rsidRPr="009C070A">
        <w:rPr>
          <w:bCs/>
          <w:i/>
          <w:color w:val="000000" w:themeColor="text1"/>
          <w:sz w:val="24"/>
        </w:rPr>
        <w:t>Vatra</w:t>
      </w:r>
      <w:proofErr w:type="spellEnd"/>
      <w:r w:rsidRPr="009C070A">
        <w:rPr>
          <w:bCs/>
          <w:i/>
          <w:color w:val="000000" w:themeColor="text1"/>
          <w:sz w:val="24"/>
        </w:rPr>
        <w:t>” building in Sarajevo are to be estimated by the candidate entity in the proposal, as the estimation could not have been done by the EU Delegation at the time of the action programming.</w:t>
      </w:r>
    </w:p>
    <w:p w14:paraId="2D9FC97B" w14:textId="77777777" w:rsidR="00114D17" w:rsidRPr="009C070A" w:rsidRDefault="00114D17" w:rsidP="00114D17">
      <w:pPr>
        <w:jc w:val="both"/>
        <w:rPr>
          <w:b/>
          <w:bCs/>
          <w:color w:val="000000" w:themeColor="text1"/>
          <w:sz w:val="24"/>
        </w:rPr>
      </w:pPr>
      <w:r w:rsidRPr="009C070A">
        <w:rPr>
          <w:b/>
          <w:bCs/>
          <w:color w:val="000000" w:themeColor="text1"/>
          <w:sz w:val="24"/>
        </w:rPr>
        <w:t>Q2: If all of the estimated costs are to be covered from Component 1.</w:t>
      </w:r>
    </w:p>
    <w:p w14:paraId="660141FB" w14:textId="77777777" w:rsidR="00114D17" w:rsidRDefault="00114D17" w:rsidP="00114D17">
      <w:pPr>
        <w:jc w:val="both"/>
        <w:rPr>
          <w:bCs/>
          <w:i/>
          <w:color w:val="000000" w:themeColor="text1"/>
          <w:sz w:val="24"/>
        </w:rPr>
      </w:pPr>
      <w:r w:rsidRPr="009C070A">
        <w:rPr>
          <w:bCs/>
          <w:i/>
          <w:color w:val="000000" w:themeColor="text1"/>
          <w:sz w:val="24"/>
        </w:rPr>
        <w:t>A2: All of the estimated costs are to be covered from Component 1, as it is foreseen that each component will be implemented through a separate agreement.</w:t>
      </w:r>
    </w:p>
    <w:p w14:paraId="594D3344" w14:textId="77777777" w:rsidR="00114D17" w:rsidRPr="005D3D4C" w:rsidRDefault="00114D17" w:rsidP="00114D17">
      <w:pPr>
        <w:jc w:val="both"/>
        <w:rPr>
          <w:b/>
          <w:bCs/>
          <w:color w:val="000000" w:themeColor="text1"/>
          <w:sz w:val="24"/>
        </w:rPr>
      </w:pPr>
      <w:r w:rsidRPr="005D3D4C">
        <w:rPr>
          <w:b/>
          <w:bCs/>
          <w:color w:val="000000" w:themeColor="text1"/>
          <w:sz w:val="24"/>
        </w:rPr>
        <w:t>Q3: As per existing EU and donor practice, investments in EE and RES require co-financing from beneficiaries. Do you anticipate co-financing from beneficiaries and in what percentage?</w:t>
      </w:r>
    </w:p>
    <w:p w14:paraId="01B4A5ED" w14:textId="1FAC361D" w:rsidR="00114D17" w:rsidRDefault="00114D17" w:rsidP="00114D17">
      <w:pPr>
        <w:jc w:val="both"/>
        <w:rPr>
          <w:bCs/>
          <w:i/>
          <w:color w:val="000000" w:themeColor="text1"/>
          <w:sz w:val="24"/>
        </w:rPr>
      </w:pPr>
      <w:r>
        <w:rPr>
          <w:bCs/>
          <w:i/>
          <w:color w:val="000000" w:themeColor="text1"/>
          <w:sz w:val="24"/>
        </w:rPr>
        <w:t xml:space="preserve">A3: Contribution from the EU will be 100% in the form of grant to the entrusted entity. The entity is encouraged to </w:t>
      </w:r>
      <w:r w:rsidRPr="00AC548A">
        <w:rPr>
          <w:bCs/>
          <w:i/>
          <w:color w:val="000000" w:themeColor="text1"/>
          <w:sz w:val="24"/>
        </w:rPr>
        <w:t xml:space="preserve">propose </w:t>
      </w:r>
      <w:r>
        <w:rPr>
          <w:bCs/>
          <w:i/>
          <w:color w:val="000000" w:themeColor="text1"/>
          <w:sz w:val="24"/>
        </w:rPr>
        <w:t xml:space="preserve">the activities </w:t>
      </w:r>
      <w:r w:rsidRPr="00AC548A">
        <w:rPr>
          <w:bCs/>
          <w:i/>
          <w:color w:val="000000" w:themeColor="text1"/>
          <w:sz w:val="24"/>
        </w:rPr>
        <w:t>based on their knowledge related to social acceptability</w:t>
      </w:r>
      <w:r>
        <w:rPr>
          <w:bCs/>
          <w:i/>
          <w:color w:val="000000" w:themeColor="text1"/>
          <w:sz w:val="24"/>
        </w:rPr>
        <w:t>, technical acceptability</w:t>
      </w:r>
      <w:r w:rsidRPr="00AC548A">
        <w:rPr>
          <w:bCs/>
          <w:i/>
          <w:color w:val="000000" w:themeColor="text1"/>
          <w:sz w:val="24"/>
        </w:rPr>
        <w:t xml:space="preserve"> and feasibility</w:t>
      </w:r>
      <w:r w:rsidRPr="00114D17">
        <w:rPr>
          <w:bCs/>
          <w:i/>
          <w:color w:val="000000" w:themeColor="text1"/>
          <w:sz w:val="24"/>
        </w:rPr>
        <w:t>. In particular activities to implement energy efficiency projects/programmes in the public sector under existing and new innovative, scalable financing mechanisms. Th</w:t>
      </w:r>
      <w:r>
        <w:rPr>
          <w:bCs/>
          <w:i/>
          <w:color w:val="000000" w:themeColor="text1"/>
          <w:sz w:val="24"/>
        </w:rPr>
        <w:t>e organisation shall present the proposals to the EU for its assessment.</w:t>
      </w:r>
    </w:p>
    <w:p w14:paraId="0A4E2FFF" w14:textId="77777777" w:rsidR="00114D17" w:rsidRDefault="00114D17" w:rsidP="00114D17">
      <w:pPr>
        <w:jc w:val="both"/>
        <w:rPr>
          <w:b/>
          <w:bCs/>
          <w:color w:val="000000" w:themeColor="text1"/>
          <w:sz w:val="24"/>
        </w:rPr>
      </w:pPr>
    </w:p>
    <w:p w14:paraId="7493F445" w14:textId="77777777" w:rsidR="00114D17" w:rsidRDefault="00114D17" w:rsidP="00114D17">
      <w:pPr>
        <w:jc w:val="both"/>
        <w:rPr>
          <w:b/>
          <w:bCs/>
          <w:color w:val="000000" w:themeColor="text1"/>
          <w:sz w:val="24"/>
        </w:rPr>
      </w:pPr>
      <w:r w:rsidRPr="005D3D4C">
        <w:rPr>
          <w:b/>
          <w:bCs/>
          <w:color w:val="000000" w:themeColor="text1"/>
          <w:sz w:val="24"/>
        </w:rPr>
        <w:lastRenderedPageBreak/>
        <w:t>Q4: If EU co-financing is lower than 50%, do you anticipate seeking exemption from the Law on Public Procurement?</w:t>
      </w:r>
    </w:p>
    <w:p w14:paraId="6B0EF975" w14:textId="30089D9C" w:rsidR="00114D17" w:rsidRPr="00114D17" w:rsidRDefault="00114D17" w:rsidP="00114D17">
      <w:pPr>
        <w:jc w:val="both"/>
        <w:rPr>
          <w:bCs/>
          <w:i/>
          <w:color w:val="000000" w:themeColor="text1"/>
          <w:sz w:val="24"/>
        </w:rPr>
      </w:pPr>
      <w:r w:rsidRPr="00114D17">
        <w:rPr>
          <w:bCs/>
          <w:i/>
          <w:color w:val="000000" w:themeColor="text1"/>
          <w:sz w:val="24"/>
        </w:rPr>
        <w:t xml:space="preserve">A4: Procedures to be launched in the framework of the contribution agreement shall follow the procurement rules and procedures of the Entrusted entity positively Assessed by the European Union. </w:t>
      </w:r>
    </w:p>
    <w:p w14:paraId="6133D86E" w14:textId="77777777" w:rsidR="00114D17" w:rsidRDefault="00114D17" w:rsidP="00114D17">
      <w:pPr>
        <w:jc w:val="both"/>
        <w:rPr>
          <w:b/>
          <w:bCs/>
          <w:color w:val="000000" w:themeColor="text1"/>
          <w:sz w:val="24"/>
        </w:rPr>
      </w:pPr>
      <w:r>
        <w:rPr>
          <w:b/>
          <w:bCs/>
          <w:color w:val="000000" w:themeColor="text1"/>
          <w:sz w:val="24"/>
        </w:rPr>
        <w:t xml:space="preserve">Q5: </w:t>
      </w:r>
      <w:r w:rsidRPr="00C90CBB">
        <w:rPr>
          <w:b/>
          <w:bCs/>
          <w:color w:val="000000" w:themeColor="text1"/>
          <w:sz w:val="24"/>
        </w:rPr>
        <w:t>Could you please clarify deadline for your response?</w:t>
      </w:r>
    </w:p>
    <w:p w14:paraId="1D02DF1C" w14:textId="77777777" w:rsidR="00114D17" w:rsidRPr="00114D17" w:rsidRDefault="00114D17" w:rsidP="00114D17">
      <w:pPr>
        <w:jc w:val="both"/>
        <w:rPr>
          <w:bCs/>
          <w:i/>
          <w:color w:val="000000" w:themeColor="text1"/>
          <w:sz w:val="24"/>
        </w:rPr>
      </w:pPr>
      <w:r w:rsidRPr="00114D17">
        <w:rPr>
          <w:bCs/>
          <w:i/>
          <w:color w:val="000000" w:themeColor="text1"/>
          <w:sz w:val="24"/>
        </w:rPr>
        <w:t>A5: The information should be sent by email to the following e-mail address: DELEGATION- BOSNIA-AND-HERZEGOVINA-CFP@eeas.europa.eu, by 10th of July 2023, 24:00 o'clock, CET, the latest. All additional questions related to this Letter should be addressed to the EU Delegation not later than 3rd of July 2023 12:00 o'clock, CET.</w:t>
      </w:r>
    </w:p>
    <w:p w14:paraId="3D750893" w14:textId="06FA91D4" w:rsidR="00114D17" w:rsidRPr="00114D17" w:rsidRDefault="00114D17" w:rsidP="00114D17">
      <w:pPr>
        <w:jc w:val="both"/>
        <w:rPr>
          <w:bCs/>
          <w:i/>
          <w:color w:val="000000" w:themeColor="text1"/>
          <w:sz w:val="24"/>
        </w:rPr>
      </w:pPr>
      <w:r w:rsidRPr="00114D17">
        <w:rPr>
          <w:bCs/>
          <w:i/>
          <w:color w:val="000000" w:themeColor="text1"/>
          <w:sz w:val="24"/>
        </w:rPr>
        <w:t xml:space="preserve">All replies to the questions related to this Expression of Interest received within the deadline specified above, will be published on the website of the Delegation of the European Union to Bosnia and Herzegovina, section "Tenders and funding", </w:t>
      </w:r>
      <w:proofErr w:type="gramStart"/>
      <w:r w:rsidRPr="00114D17">
        <w:rPr>
          <w:bCs/>
          <w:i/>
          <w:color w:val="000000" w:themeColor="text1"/>
          <w:sz w:val="24"/>
        </w:rPr>
        <w:t>sub</w:t>
      </w:r>
      <w:proofErr w:type="gramEnd"/>
      <w:r w:rsidRPr="00114D17">
        <w:rPr>
          <w:bCs/>
          <w:i/>
          <w:color w:val="000000" w:themeColor="text1"/>
          <w:sz w:val="24"/>
        </w:rPr>
        <w:t xml:space="preserve">-section "EU Delegation tenders" under the link to </w:t>
      </w:r>
      <w:r w:rsidR="00294DD1">
        <w:rPr>
          <w:bCs/>
          <w:i/>
          <w:color w:val="000000" w:themeColor="text1"/>
          <w:sz w:val="24"/>
        </w:rPr>
        <w:t>this Expression of Interest on 5</w:t>
      </w:r>
      <w:bookmarkStart w:id="0" w:name="_GoBack"/>
      <w:bookmarkEnd w:id="0"/>
      <w:r w:rsidRPr="00114D17">
        <w:rPr>
          <w:bCs/>
          <w:i/>
          <w:color w:val="000000" w:themeColor="text1"/>
          <w:sz w:val="24"/>
        </w:rPr>
        <w:t>th</w:t>
      </w:r>
      <w:r>
        <w:rPr>
          <w:bCs/>
          <w:i/>
          <w:color w:val="000000" w:themeColor="text1"/>
          <w:sz w:val="24"/>
        </w:rPr>
        <w:t xml:space="preserve"> July. </w:t>
      </w:r>
      <w:r w:rsidRPr="00114D17">
        <w:rPr>
          <w:bCs/>
          <w:i/>
          <w:color w:val="000000" w:themeColor="text1"/>
          <w:sz w:val="24"/>
        </w:rPr>
        <w:t>Interested entities are invited to submit expressions of interest by 10th of July</w:t>
      </w:r>
      <w:r>
        <w:rPr>
          <w:bCs/>
          <w:i/>
          <w:color w:val="000000" w:themeColor="text1"/>
          <w:sz w:val="24"/>
        </w:rPr>
        <w:t>.</w:t>
      </w:r>
    </w:p>
    <w:p w14:paraId="4DD6C771" w14:textId="77777777" w:rsidR="00114D17" w:rsidRPr="005D3D4C" w:rsidRDefault="00114D17" w:rsidP="00114D17">
      <w:pPr>
        <w:spacing w:after="0" w:line="240" w:lineRule="auto"/>
        <w:ind w:left="720"/>
        <w:jc w:val="both"/>
        <w:rPr>
          <w:rFonts w:ascii="Calibri" w:hAnsi="Calibri" w:cs="Calibri"/>
          <w:i/>
          <w:color w:val="000000"/>
          <w:highlight w:val="yellow"/>
        </w:rPr>
      </w:pPr>
    </w:p>
    <w:p w14:paraId="43AE244D" w14:textId="77777777" w:rsidR="00114D17" w:rsidRPr="009C070A" w:rsidRDefault="00114D17" w:rsidP="00114D17">
      <w:pPr>
        <w:jc w:val="both"/>
        <w:rPr>
          <w:bCs/>
          <w:i/>
          <w:color w:val="000000" w:themeColor="text1"/>
          <w:sz w:val="24"/>
        </w:rPr>
      </w:pPr>
    </w:p>
    <w:p w14:paraId="14BF3EB9" w14:textId="7774404F" w:rsidR="00F20FDB" w:rsidRPr="009C070A" w:rsidRDefault="00F20FDB" w:rsidP="00114D17">
      <w:pPr>
        <w:jc w:val="both"/>
        <w:rPr>
          <w:sz w:val="24"/>
        </w:rPr>
      </w:pPr>
    </w:p>
    <w:sectPr w:rsidR="00F20FDB" w:rsidRPr="009C070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9CB8" w14:textId="77777777" w:rsidR="007112CA" w:rsidRDefault="007112CA" w:rsidP="00D34FC1">
      <w:pPr>
        <w:spacing w:after="0" w:line="240" w:lineRule="auto"/>
      </w:pPr>
      <w:r>
        <w:separator/>
      </w:r>
    </w:p>
  </w:endnote>
  <w:endnote w:type="continuationSeparator" w:id="0">
    <w:p w14:paraId="3B87047C" w14:textId="77777777" w:rsidR="007112CA" w:rsidRDefault="007112CA" w:rsidP="00D3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92572"/>
      <w:docPartObj>
        <w:docPartGallery w:val="Page Numbers (Bottom of Page)"/>
        <w:docPartUnique/>
      </w:docPartObj>
    </w:sdtPr>
    <w:sdtEndPr>
      <w:rPr>
        <w:noProof/>
      </w:rPr>
    </w:sdtEndPr>
    <w:sdtContent>
      <w:p w14:paraId="2E285BB5" w14:textId="7A91BAF1" w:rsidR="00315324" w:rsidRDefault="00315324">
        <w:pPr>
          <w:pStyle w:val="Footer"/>
          <w:jc w:val="center"/>
        </w:pPr>
        <w:r>
          <w:fldChar w:fldCharType="begin"/>
        </w:r>
        <w:r>
          <w:instrText xml:space="preserve"> PAGE   \* MERGEFORMAT </w:instrText>
        </w:r>
        <w:r>
          <w:fldChar w:fldCharType="separate"/>
        </w:r>
        <w:r w:rsidR="00294DD1">
          <w:rPr>
            <w:noProof/>
          </w:rPr>
          <w:t>1</w:t>
        </w:r>
        <w:r>
          <w:rPr>
            <w:noProof/>
          </w:rPr>
          <w:fldChar w:fldCharType="end"/>
        </w:r>
      </w:p>
    </w:sdtContent>
  </w:sdt>
  <w:p w14:paraId="60DDE521" w14:textId="77777777" w:rsidR="00315324" w:rsidRDefault="00315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81B9A" w14:textId="77777777" w:rsidR="007112CA" w:rsidRDefault="007112CA" w:rsidP="00D34FC1">
      <w:pPr>
        <w:spacing w:after="0" w:line="240" w:lineRule="auto"/>
      </w:pPr>
      <w:r>
        <w:separator/>
      </w:r>
    </w:p>
  </w:footnote>
  <w:footnote w:type="continuationSeparator" w:id="0">
    <w:p w14:paraId="57893FFB" w14:textId="77777777" w:rsidR="007112CA" w:rsidRDefault="007112CA" w:rsidP="00D34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87" w:type="dxa"/>
      <w:tblLayout w:type="fixed"/>
      <w:tblCellMar>
        <w:left w:w="0" w:type="dxa"/>
        <w:right w:w="0" w:type="dxa"/>
      </w:tblCellMar>
      <w:tblLook w:val="0000" w:firstRow="0" w:lastRow="0" w:firstColumn="0" w:lastColumn="0" w:noHBand="0" w:noVBand="0"/>
    </w:tblPr>
    <w:tblGrid>
      <w:gridCol w:w="1676"/>
      <w:gridCol w:w="6311"/>
    </w:tblGrid>
    <w:tr w:rsidR="00315324" w:rsidRPr="005E5E0E" w14:paraId="339C08DB" w14:textId="77777777" w:rsidTr="00230BF5">
      <w:trPr>
        <w:trHeight w:val="1110"/>
      </w:trPr>
      <w:tc>
        <w:tcPr>
          <w:tcW w:w="1676" w:type="dxa"/>
          <w:tcBorders>
            <w:top w:val="nil"/>
            <w:left w:val="nil"/>
            <w:bottom w:val="nil"/>
            <w:right w:val="nil"/>
          </w:tcBorders>
        </w:tcPr>
        <w:p w14:paraId="4B3D014A" w14:textId="77777777" w:rsidR="00315324" w:rsidRDefault="00315324" w:rsidP="00D34FC1">
          <w:pPr>
            <w:pStyle w:val="ZCom"/>
          </w:pPr>
          <w:r>
            <w:rPr>
              <w:noProof/>
              <w:sz w:val="20"/>
              <w:szCs w:val="20"/>
              <w:lang w:val="en-GB" w:eastAsia="en-GB"/>
            </w:rPr>
            <w:drawing>
              <wp:inline distT="0" distB="0" distL="0" distR="0" wp14:anchorId="50967B49" wp14:editId="38048E0A">
                <wp:extent cx="1005840" cy="6705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70560"/>
                        </a:xfrm>
                        <a:prstGeom prst="rect">
                          <a:avLst/>
                        </a:prstGeom>
                        <a:noFill/>
                        <a:ln>
                          <a:noFill/>
                        </a:ln>
                      </pic:spPr>
                    </pic:pic>
                  </a:graphicData>
                </a:graphic>
              </wp:inline>
            </w:drawing>
          </w:r>
        </w:p>
      </w:tc>
      <w:tc>
        <w:tcPr>
          <w:tcW w:w="6311" w:type="dxa"/>
          <w:tcBorders>
            <w:top w:val="nil"/>
            <w:left w:val="nil"/>
            <w:bottom w:val="nil"/>
            <w:right w:val="nil"/>
          </w:tcBorders>
        </w:tcPr>
        <w:p w14:paraId="7E674913" w14:textId="77777777" w:rsidR="00315324" w:rsidRDefault="00315324" w:rsidP="00D34FC1">
          <w:pPr>
            <w:pStyle w:val="ZCom"/>
            <w:spacing w:before="20"/>
            <w:rPr>
              <w:b/>
              <w:lang w:val="en-GB"/>
            </w:rPr>
          </w:pPr>
          <w:r w:rsidRPr="005E5E0E">
            <w:rPr>
              <w:b/>
              <w:lang w:val="en-GB"/>
            </w:rPr>
            <w:t>EUROPEAN UNION</w:t>
          </w:r>
        </w:p>
        <w:p w14:paraId="5B6B4BE5" w14:textId="77777777" w:rsidR="00315324" w:rsidRDefault="00315324" w:rsidP="00D34FC1">
          <w:pPr>
            <w:pStyle w:val="ZDGName"/>
            <w:rPr>
              <w:lang w:val="en-GB"/>
            </w:rPr>
          </w:pPr>
        </w:p>
        <w:p w14:paraId="3E4B82E8" w14:textId="77777777" w:rsidR="00315324" w:rsidRDefault="00315324" w:rsidP="00D34FC1">
          <w:pPr>
            <w:pStyle w:val="ZDGName"/>
            <w:rPr>
              <w:lang w:val="en-GB"/>
            </w:rPr>
          </w:pPr>
          <w:r>
            <w:rPr>
              <w:lang w:val="en-GB"/>
            </w:rPr>
            <w:t>DELEGATION TO BOSNIA AND HERZEGOVINA</w:t>
          </w:r>
        </w:p>
        <w:p w14:paraId="71E9DBA4" w14:textId="77777777" w:rsidR="00315324" w:rsidRPr="005E5E0E" w:rsidRDefault="00315324" w:rsidP="00D34FC1">
          <w:pPr>
            <w:pStyle w:val="ZDGName"/>
            <w:rPr>
              <w:lang w:val="en-GB"/>
            </w:rPr>
          </w:pPr>
        </w:p>
      </w:tc>
    </w:tr>
  </w:tbl>
  <w:p w14:paraId="040C9127" w14:textId="77777777" w:rsidR="00315324" w:rsidRDefault="00315324" w:rsidP="00D34FC1">
    <w:pPr>
      <w:pStyle w:val="Header"/>
    </w:pPr>
  </w:p>
  <w:p w14:paraId="7129459B" w14:textId="77777777" w:rsidR="00315324" w:rsidRDefault="0031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A0E"/>
    <w:multiLevelType w:val="multilevel"/>
    <w:tmpl w:val="27A2F3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227C52"/>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D30EE"/>
    <w:multiLevelType w:val="hybridMultilevel"/>
    <w:tmpl w:val="80886098"/>
    <w:lvl w:ilvl="0" w:tplc="08090017">
      <w:start w:val="1"/>
      <w:numFmt w:val="lowerLetter"/>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 w15:restartNumberingAfterBreak="0">
    <w:nsid w:val="0E237B92"/>
    <w:multiLevelType w:val="hybridMultilevel"/>
    <w:tmpl w:val="D046CC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0E21"/>
    <w:multiLevelType w:val="multilevel"/>
    <w:tmpl w:val="74AEBA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686456"/>
    <w:multiLevelType w:val="hybridMultilevel"/>
    <w:tmpl w:val="036A74FC"/>
    <w:lvl w:ilvl="0" w:tplc="08090017">
      <w:start w:val="1"/>
      <w:numFmt w:val="lowerLetter"/>
      <w:lvlText w:val="%1)"/>
      <w:lvlJc w:val="left"/>
      <w:pPr>
        <w:ind w:left="720" w:hanging="360"/>
      </w:pPr>
    </w:lvl>
    <w:lvl w:ilvl="1" w:tplc="051AFDF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32C15"/>
    <w:multiLevelType w:val="multilevel"/>
    <w:tmpl w:val="D662EB28"/>
    <w:lvl w:ilvl="0">
      <w:start w:val="4"/>
      <w:numFmt w:val="decimal"/>
      <w:lvlText w:val="%1."/>
      <w:lvlJc w:val="left"/>
      <w:pPr>
        <w:ind w:left="360" w:hanging="360"/>
      </w:pPr>
      <w:rPr>
        <w:rFonts w:eastAsiaTheme="minorHAnsi" w:cs="Times New Roman" w:hint="default"/>
        <w:sz w:val="24"/>
      </w:rPr>
    </w:lvl>
    <w:lvl w:ilvl="1">
      <w:start w:val="1"/>
      <w:numFmt w:val="decimal"/>
      <w:lvlText w:val="%1.%2."/>
      <w:lvlJc w:val="left"/>
      <w:pPr>
        <w:ind w:left="720" w:hanging="360"/>
      </w:pPr>
      <w:rPr>
        <w:rFonts w:eastAsiaTheme="minorHAnsi" w:cs="Times New Roman" w:hint="default"/>
        <w:sz w:val="24"/>
      </w:rPr>
    </w:lvl>
    <w:lvl w:ilvl="2">
      <w:start w:val="1"/>
      <w:numFmt w:val="decimal"/>
      <w:lvlText w:val="%1.%2.%3."/>
      <w:lvlJc w:val="left"/>
      <w:pPr>
        <w:ind w:left="1440" w:hanging="720"/>
      </w:pPr>
      <w:rPr>
        <w:rFonts w:eastAsiaTheme="minorHAnsi" w:cs="Times New Roman" w:hint="default"/>
        <w:sz w:val="24"/>
      </w:rPr>
    </w:lvl>
    <w:lvl w:ilvl="3">
      <w:start w:val="1"/>
      <w:numFmt w:val="decimal"/>
      <w:lvlText w:val="%1.%2.%3.%4."/>
      <w:lvlJc w:val="left"/>
      <w:pPr>
        <w:ind w:left="1800" w:hanging="720"/>
      </w:pPr>
      <w:rPr>
        <w:rFonts w:eastAsiaTheme="minorHAnsi" w:cs="Times New Roman" w:hint="default"/>
        <w:sz w:val="24"/>
      </w:rPr>
    </w:lvl>
    <w:lvl w:ilvl="4">
      <w:start w:val="1"/>
      <w:numFmt w:val="decimal"/>
      <w:lvlText w:val="%1.%2.%3.%4.%5."/>
      <w:lvlJc w:val="left"/>
      <w:pPr>
        <w:ind w:left="2520" w:hanging="1080"/>
      </w:pPr>
      <w:rPr>
        <w:rFonts w:eastAsiaTheme="minorHAnsi" w:cs="Times New Roman" w:hint="default"/>
        <w:sz w:val="24"/>
      </w:rPr>
    </w:lvl>
    <w:lvl w:ilvl="5">
      <w:start w:val="1"/>
      <w:numFmt w:val="decimal"/>
      <w:lvlText w:val="%1.%2.%3.%4.%5.%6."/>
      <w:lvlJc w:val="left"/>
      <w:pPr>
        <w:ind w:left="2880" w:hanging="1080"/>
      </w:pPr>
      <w:rPr>
        <w:rFonts w:eastAsiaTheme="minorHAnsi" w:cs="Times New Roman" w:hint="default"/>
        <w:sz w:val="24"/>
      </w:rPr>
    </w:lvl>
    <w:lvl w:ilvl="6">
      <w:start w:val="1"/>
      <w:numFmt w:val="decimal"/>
      <w:lvlText w:val="%1.%2.%3.%4.%5.%6.%7."/>
      <w:lvlJc w:val="left"/>
      <w:pPr>
        <w:ind w:left="3600" w:hanging="1440"/>
      </w:pPr>
      <w:rPr>
        <w:rFonts w:eastAsiaTheme="minorHAnsi" w:cs="Times New Roman" w:hint="default"/>
        <w:sz w:val="24"/>
      </w:rPr>
    </w:lvl>
    <w:lvl w:ilvl="7">
      <w:start w:val="1"/>
      <w:numFmt w:val="decimal"/>
      <w:lvlText w:val="%1.%2.%3.%4.%5.%6.%7.%8."/>
      <w:lvlJc w:val="left"/>
      <w:pPr>
        <w:ind w:left="3960" w:hanging="1440"/>
      </w:pPr>
      <w:rPr>
        <w:rFonts w:eastAsiaTheme="minorHAnsi" w:cs="Times New Roman" w:hint="default"/>
        <w:sz w:val="24"/>
      </w:rPr>
    </w:lvl>
    <w:lvl w:ilvl="8">
      <w:start w:val="1"/>
      <w:numFmt w:val="decimal"/>
      <w:lvlText w:val="%1.%2.%3.%4.%5.%6.%7.%8.%9."/>
      <w:lvlJc w:val="left"/>
      <w:pPr>
        <w:ind w:left="4680" w:hanging="1800"/>
      </w:pPr>
      <w:rPr>
        <w:rFonts w:eastAsiaTheme="minorHAnsi" w:cs="Times New Roman" w:hint="default"/>
        <w:sz w:val="24"/>
      </w:rPr>
    </w:lvl>
  </w:abstractNum>
  <w:abstractNum w:abstractNumId="7" w15:restartNumberingAfterBreak="0">
    <w:nsid w:val="1A6137CD"/>
    <w:multiLevelType w:val="hybridMultilevel"/>
    <w:tmpl w:val="EFAA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7224"/>
    <w:multiLevelType w:val="hybridMultilevel"/>
    <w:tmpl w:val="F0EAF1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A5F0D"/>
    <w:multiLevelType w:val="multilevel"/>
    <w:tmpl w:val="031208D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F4D58"/>
    <w:multiLevelType w:val="hybridMultilevel"/>
    <w:tmpl w:val="81203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A6C2C"/>
    <w:multiLevelType w:val="hybridMultilevel"/>
    <w:tmpl w:val="58A29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18519D"/>
    <w:multiLevelType w:val="multilevel"/>
    <w:tmpl w:val="7F14C2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912F00"/>
    <w:multiLevelType w:val="multilevel"/>
    <w:tmpl w:val="F43E8A5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B6F75AE"/>
    <w:multiLevelType w:val="hybridMultilevel"/>
    <w:tmpl w:val="80886098"/>
    <w:lvl w:ilvl="0" w:tplc="08090017">
      <w:start w:val="1"/>
      <w:numFmt w:val="lowerLetter"/>
      <w:lvlText w:val="%1)"/>
      <w:lvlJc w:val="left"/>
      <w:pPr>
        <w:ind w:left="536" w:hanging="360"/>
      </w:p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5" w15:restartNumberingAfterBreak="0">
    <w:nsid w:val="2DA37547"/>
    <w:multiLevelType w:val="hybridMultilevel"/>
    <w:tmpl w:val="5F628B6C"/>
    <w:lvl w:ilvl="0" w:tplc="449EF3E2">
      <w:start w:val="1"/>
      <w:numFmt w:val="upperRoman"/>
      <w:lvlText w:val="%1."/>
      <w:lvlJc w:val="left"/>
      <w:pPr>
        <w:ind w:left="1080" w:hanging="720"/>
      </w:pPr>
      <w:rPr>
        <w:rFonts w:hint="default"/>
      </w:rPr>
    </w:lvl>
    <w:lvl w:ilvl="1" w:tplc="77346A98">
      <w:start w:val="1"/>
      <w:numFmt w:val="lowerLetter"/>
      <w:lvlText w:val="(%2)"/>
      <w:lvlJc w:val="left"/>
      <w:pPr>
        <w:ind w:left="1440" w:hanging="360"/>
      </w:pPr>
      <w:rPr>
        <w:rFonts w:hint="default"/>
      </w:rPr>
    </w:lvl>
    <w:lvl w:ilvl="2" w:tplc="4FD8A72A">
      <w:numFmt w:val="bullet"/>
      <w:lvlText w:val="-"/>
      <w:lvlJc w:val="left"/>
      <w:pPr>
        <w:ind w:left="2340" w:hanging="36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D0143"/>
    <w:multiLevelType w:val="hybridMultilevel"/>
    <w:tmpl w:val="824644A0"/>
    <w:lvl w:ilvl="0" w:tplc="0809000F">
      <w:start w:val="1"/>
      <w:numFmt w:val="decimal"/>
      <w:lvlText w:val="%1."/>
      <w:lvlJc w:val="left"/>
      <w:pPr>
        <w:ind w:left="720" w:hanging="360"/>
      </w:pPr>
    </w:lvl>
    <w:lvl w:ilvl="1" w:tplc="051AFDF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323266"/>
    <w:multiLevelType w:val="hybridMultilevel"/>
    <w:tmpl w:val="3B22F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F45B75"/>
    <w:multiLevelType w:val="hybridMultilevel"/>
    <w:tmpl w:val="99F85876"/>
    <w:lvl w:ilvl="0" w:tplc="1E9E17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B4F90"/>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6814E2"/>
    <w:multiLevelType w:val="multilevel"/>
    <w:tmpl w:val="86DC395E"/>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1" w15:restartNumberingAfterBreak="0">
    <w:nsid w:val="3DAD5F55"/>
    <w:multiLevelType w:val="multilevel"/>
    <w:tmpl w:val="311ED5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807920"/>
    <w:multiLevelType w:val="multilevel"/>
    <w:tmpl w:val="15940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616E66"/>
    <w:multiLevelType w:val="hybridMultilevel"/>
    <w:tmpl w:val="9364F8D2"/>
    <w:lvl w:ilvl="0" w:tplc="259E6C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531FE6"/>
    <w:multiLevelType w:val="hybridMultilevel"/>
    <w:tmpl w:val="F0EAF1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A63B3"/>
    <w:multiLevelType w:val="multilevel"/>
    <w:tmpl w:val="23921A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A6210"/>
    <w:multiLevelType w:val="multilevel"/>
    <w:tmpl w:val="859EA4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564302"/>
    <w:multiLevelType w:val="hybridMultilevel"/>
    <w:tmpl w:val="1C509F2A"/>
    <w:lvl w:ilvl="0" w:tplc="A65EEB2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34EF1"/>
    <w:multiLevelType w:val="multilevel"/>
    <w:tmpl w:val="8482E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EB3F09"/>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86081"/>
    <w:multiLevelType w:val="hybridMultilevel"/>
    <w:tmpl w:val="18109370"/>
    <w:lvl w:ilvl="0" w:tplc="08090001">
      <w:start w:val="1"/>
      <w:numFmt w:val="bullet"/>
      <w:lvlText w:val=""/>
      <w:lvlJc w:val="left"/>
      <w:pPr>
        <w:ind w:left="720" w:hanging="720"/>
      </w:pPr>
      <w:rPr>
        <w:rFonts w:ascii="Symbol" w:hAnsi="Symbol" w:hint="default"/>
      </w:rPr>
    </w:lvl>
    <w:lvl w:ilvl="1" w:tplc="BC5A4666">
      <w:start w:val="2"/>
      <w:numFmt w:val="bullet"/>
      <w:lvlText w:val="•"/>
      <w:lvlJc w:val="left"/>
      <w:pPr>
        <w:ind w:left="1440" w:hanging="720"/>
      </w:pPr>
      <w:rPr>
        <w:rFonts w:ascii="Times New Roman" w:eastAsia="Calibr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B017AB"/>
    <w:multiLevelType w:val="hybridMultilevel"/>
    <w:tmpl w:val="64FC922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387817"/>
    <w:multiLevelType w:val="hybridMultilevel"/>
    <w:tmpl w:val="25209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3E532A"/>
    <w:multiLevelType w:val="hybridMultilevel"/>
    <w:tmpl w:val="18F4AAB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9"/>
  </w:num>
  <w:num w:numId="5">
    <w:abstractNumId w:val="3"/>
  </w:num>
  <w:num w:numId="6">
    <w:abstractNumId w:val="27"/>
  </w:num>
  <w:num w:numId="7">
    <w:abstractNumId w:val="15"/>
  </w:num>
  <w:num w:numId="8">
    <w:abstractNumId w:val="10"/>
  </w:num>
  <w:num w:numId="9">
    <w:abstractNumId w:val="1"/>
  </w:num>
  <w:num w:numId="10">
    <w:abstractNumId w:val="24"/>
  </w:num>
  <w:num w:numId="11">
    <w:abstractNumId w:val="6"/>
  </w:num>
  <w:num w:numId="12">
    <w:abstractNumId w:val="4"/>
  </w:num>
  <w:num w:numId="13">
    <w:abstractNumId w:val="7"/>
  </w:num>
  <w:num w:numId="14">
    <w:abstractNumId w:val="5"/>
  </w:num>
  <w:num w:numId="15">
    <w:abstractNumId w:val="30"/>
  </w:num>
  <w:num w:numId="16">
    <w:abstractNumId w:val="17"/>
  </w:num>
  <w:num w:numId="17">
    <w:abstractNumId w:val="11"/>
  </w:num>
  <w:num w:numId="18">
    <w:abstractNumId w:val="31"/>
  </w:num>
  <w:num w:numId="19">
    <w:abstractNumId w:val="33"/>
  </w:num>
  <w:num w:numId="20">
    <w:abstractNumId w:val="29"/>
  </w:num>
  <w:num w:numId="21">
    <w:abstractNumId w:val="12"/>
  </w:num>
  <w:num w:numId="22">
    <w:abstractNumId w:val="18"/>
  </w:num>
  <w:num w:numId="23">
    <w:abstractNumId w:val="14"/>
  </w:num>
  <w:num w:numId="24">
    <w:abstractNumId w:val="0"/>
  </w:num>
  <w:num w:numId="25">
    <w:abstractNumId w:val="22"/>
  </w:num>
  <w:num w:numId="26">
    <w:abstractNumId w:val="20"/>
  </w:num>
  <w:num w:numId="27">
    <w:abstractNumId w:val="19"/>
  </w:num>
  <w:num w:numId="28">
    <w:abstractNumId w:val="32"/>
  </w:num>
  <w:num w:numId="29">
    <w:abstractNumId w:val="26"/>
  </w:num>
  <w:num w:numId="30">
    <w:abstractNumId w:val="8"/>
  </w:num>
  <w:num w:numId="31">
    <w:abstractNumId w:val="25"/>
  </w:num>
  <w:num w:numId="32">
    <w:abstractNumId w:val="28"/>
  </w:num>
  <w:num w:numId="33">
    <w:abstractNumId w:val="13"/>
  </w:num>
  <w:num w:numId="34">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03DCB"/>
    <w:rsid w:val="000414FC"/>
    <w:rsid w:val="00060E45"/>
    <w:rsid w:val="00063DFA"/>
    <w:rsid w:val="0007138F"/>
    <w:rsid w:val="00071798"/>
    <w:rsid w:val="00085A3E"/>
    <w:rsid w:val="0008711F"/>
    <w:rsid w:val="000911A4"/>
    <w:rsid w:val="00114D17"/>
    <w:rsid w:val="00154EBE"/>
    <w:rsid w:val="001725BA"/>
    <w:rsid w:val="00175FDB"/>
    <w:rsid w:val="001B1492"/>
    <w:rsid w:val="001C2E7F"/>
    <w:rsid w:val="001E25D9"/>
    <w:rsid w:val="001F72C5"/>
    <w:rsid w:val="00230BF5"/>
    <w:rsid w:val="00240589"/>
    <w:rsid w:val="00293318"/>
    <w:rsid w:val="00294DD1"/>
    <w:rsid w:val="002F607F"/>
    <w:rsid w:val="00302076"/>
    <w:rsid w:val="00315324"/>
    <w:rsid w:val="003245B7"/>
    <w:rsid w:val="003348E2"/>
    <w:rsid w:val="00350FEC"/>
    <w:rsid w:val="00365CF7"/>
    <w:rsid w:val="003E208D"/>
    <w:rsid w:val="00403DCB"/>
    <w:rsid w:val="00422B84"/>
    <w:rsid w:val="00431692"/>
    <w:rsid w:val="004508D3"/>
    <w:rsid w:val="00485DCF"/>
    <w:rsid w:val="004A2430"/>
    <w:rsid w:val="004F7F4D"/>
    <w:rsid w:val="00553543"/>
    <w:rsid w:val="00557131"/>
    <w:rsid w:val="005B099F"/>
    <w:rsid w:val="006548AA"/>
    <w:rsid w:val="00664FC9"/>
    <w:rsid w:val="006A2BE8"/>
    <w:rsid w:val="006C6560"/>
    <w:rsid w:val="006F45AE"/>
    <w:rsid w:val="007032E0"/>
    <w:rsid w:val="007112CA"/>
    <w:rsid w:val="007125B7"/>
    <w:rsid w:val="00717659"/>
    <w:rsid w:val="00720104"/>
    <w:rsid w:val="007267E8"/>
    <w:rsid w:val="007C1151"/>
    <w:rsid w:val="007D7450"/>
    <w:rsid w:val="007F1DB2"/>
    <w:rsid w:val="00820A44"/>
    <w:rsid w:val="008449A7"/>
    <w:rsid w:val="00851ABF"/>
    <w:rsid w:val="0086252C"/>
    <w:rsid w:val="00881DAA"/>
    <w:rsid w:val="00885988"/>
    <w:rsid w:val="00890F92"/>
    <w:rsid w:val="008A3305"/>
    <w:rsid w:val="008B4788"/>
    <w:rsid w:val="008E175A"/>
    <w:rsid w:val="00912497"/>
    <w:rsid w:val="009303E4"/>
    <w:rsid w:val="00933520"/>
    <w:rsid w:val="0094596A"/>
    <w:rsid w:val="00981161"/>
    <w:rsid w:val="009C070A"/>
    <w:rsid w:val="009C09B2"/>
    <w:rsid w:val="009C2646"/>
    <w:rsid w:val="00A04E7B"/>
    <w:rsid w:val="00A05EB9"/>
    <w:rsid w:val="00A82665"/>
    <w:rsid w:val="00A859A8"/>
    <w:rsid w:val="00A8681C"/>
    <w:rsid w:val="00AC7C55"/>
    <w:rsid w:val="00AE3D16"/>
    <w:rsid w:val="00B04882"/>
    <w:rsid w:val="00B41F3A"/>
    <w:rsid w:val="00BA169A"/>
    <w:rsid w:val="00BD6B92"/>
    <w:rsid w:val="00C10FE0"/>
    <w:rsid w:val="00C310A3"/>
    <w:rsid w:val="00C47429"/>
    <w:rsid w:val="00C656F2"/>
    <w:rsid w:val="00C95994"/>
    <w:rsid w:val="00CA13AE"/>
    <w:rsid w:val="00CB0C78"/>
    <w:rsid w:val="00CF49DA"/>
    <w:rsid w:val="00D14786"/>
    <w:rsid w:val="00D34FC1"/>
    <w:rsid w:val="00D71FC5"/>
    <w:rsid w:val="00D75970"/>
    <w:rsid w:val="00D77EC8"/>
    <w:rsid w:val="00DC3B33"/>
    <w:rsid w:val="00DD780B"/>
    <w:rsid w:val="00DE175F"/>
    <w:rsid w:val="00E01B6C"/>
    <w:rsid w:val="00EF60E1"/>
    <w:rsid w:val="00F07B40"/>
    <w:rsid w:val="00F20FDB"/>
    <w:rsid w:val="00F3738C"/>
    <w:rsid w:val="00F46CD8"/>
    <w:rsid w:val="00FB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EC67"/>
  <w15:chartTrackingRefBased/>
  <w15:docId w15:val="{2A1123BB-4DFD-4D8D-930C-0110DE3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C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FC1"/>
  </w:style>
  <w:style w:type="paragraph" w:styleId="Footer">
    <w:name w:val="footer"/>
    <w:basedOn w:val="Normal"/>
    <w:link w:val="FooterChar"/>
    <w:uiPriority w:val="99"/>
    <w:unhideWhenUsed/>
    <w:rsid w:val="00D3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FC1"/>
  </w:style>
  <w:style w:type="paragraph" w:customStyle="1" w:styleId="ZCom">
    <w:name w:val="Z_Com"/>
    <w:basedOn w:val="Normal"/>
    <w:next w:val="ZDGName"/>
    <w:rsid w:val="00D34FC1"/>
    <w:pPr>
      <w:widowControl w:val="0"/>
      <w:autoSpaceDE w:val="0"/>
      <w:autoSpaceDN w:val="0"/>
      <w:spacing w:after="0" w:line="240" w:lineRule="auto"/>
      <w:ind w:right="85"/>
      <w:jc w:val="both"/>
    </w:pPr>
    <w:rPr>
      <w:rFonts w:ascii="Arial" w:eastAsia="Times New Roman" w:hAnsi="Arial" w:cs="Arial"/>
      <w:szCs w:val="24"/>
      <w:lang w:val="fr-FR"/>
    </w:rPr>
  </w:style>
  <w:style w:type="paragraph" w:customStyle="1" w:styleId="ZDGName">
    <w:name w:val="Z_DGName"/>
    <w:basedOn w:val="Normal"/>
    <w:rsid w:val="00D34FC1"/>
    <w:pPr>
      <w:widowControl w:val="0"/>
      <w:autoSpaceDE w:val="0"/>
      <w:autoSpaceDN w:val="0"/>
      <w:spacing w:after="0" w:line="240" w:lineRule="auto"/>
      <w:ind w:right="85"/>
    </w:pPr>
    <w:rPr>
      <w:rFonts w:ascii="Arial" w:eastAsia="Times New Roman" w:hAnsi="Arial" w:cs="Arial"/>
      <w:sz w:val="16"/>
      <w:szCs w:val="16"/>
      <w:lang w:val="fr-FR"/>
    </w:rPr>
  </w:style>
  <w:style w:type="character" w:styleId="CommentReference">
    <w:name w:val="annotation reference"/>
    <w:basedOn w:val="DefaultParagraphFont"/>
    <w:unhideWhenUsed/>
    <w:rsid w:val="007D7450"/>
    <w:rPr>
      <w:sz w:val="16"/>
      <w:szCs w:val="16"/>
    </w:rPr>
  </w:style>
  <w:style w:type="paragraph" w:styleId="CommentText">
    <w:name w:val="annotation text"/>
    <w:aliases w:val="Char Char"/>
    <w:basedOn w:val="Normal"/>
    <w:link w:val="CommentTextChar"/>
    <w:unhideWhenUsed/>
    <w:rsid w:val="007D7450"/>
    <w:pPr>
      <w:spacing w:line="240" w:lineRule="auto"/>
    </w:pPr>
    <w:rPr>
      <w:sz w:val="20"/>
      <w:szCs w:val="20"/>
    </w:rPr>
  </w:style>
  <w:style w:type="character" w:customStyle="1" w:styleId="CommentTextChar">
    <w:name w:val="Comment Text Char"/>
    <w:aliases w:val="Char Char Char"/>
    <w:basedOn w:val="DefaultParagraphFont"/>
    <w:link w:val="CommentText"/>
    <w:rsid w:val="007D74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D7450"/>
    <w:rPr>
      <w:b/>
      <w:bCs/>
    </w:rPr>
  </w:style>
  <w:style w:type="character" w:customStyle="1" w:styleId="CommentSubjectChar">
    <w:name w:val="Comment Subject Char"/>
    <w:basedOn w:val="CommentTextChar"/>
    <w:link w:val="CommentSubject"/>
    <w:uiPriority w:val="99"/>
    <w:semiHidden/>
    <w:rsid w:val="007D7450"/>
    <w:rPr>
      <w:rFonts w:ascii="Times New Roman" w:hAnsi="Times New Roman"/>
      <w:b/>
      <w:bCs/>
      <w:sz w:val="20"/>
      <w:szCs w:val="20"/>
    </w:rPr>
  </w:style>
  <w:style w:type="paragraph" w:styleId="BalloonText">
    <w:name w:val="Balloon Text"/>
    <w:basedOn w:val="Normal"/>
    <w:link w:val="BalloonTextChar"/>
    <w:uiPriority w:val="99"/>
    <w:semiHidden/>
    <w:unhideWhenUsed/>
    <w:rsid w:val="007D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50"/>
    <w:rPr>
      <w:rFonts w:ascii="Segoe UI" w:hAnsi="Segoe UI" w:cs="Segoe UI"/>
      <w:sz w:val="18"/>
      <w:szCs w:val="18"/>
    </w:rPr>
  </w:style>
  <w:style w:type="paragraph" w:styleId="Revision">
    <w:name w:val="Revision"/>
    <w:hidden/>
    <w:uiPriority w:val="99"/>
    <w:semiHidden/>
    <w:rsid w:val="007D7450"/>
    <w:pPr>
      <w:spacing w:after="0" w:line="240" w:lineRule="auto"/>
    </w:pPr>
    <w:rPr>
      <w:rFonts w:ascii="Times New Roman" w:hAnsi="Times New Roman"/>
    </w:rPr>
  </w:style>
  <w:style w:type="paragraph" w:styleId="ListParagraph">
    <w:name w:val="List Paragraph"/>
    <w:aliases w:val="Bullet Points,Liste Paragraf,List Paragraph1,PDP DOCUMENT SUBTITLE,Heading 21,Heading 211,heading 2"/>
    <w:basedOn w:val="Normal"/>
    <w:link w:val="ListParagraphChar"/>
    <w:uiPriority w:val="34"/>
    <w:qFormat/>
    <w:rsid w:val="00C310A3"/>
    <w:pPr>
      <w:ind w:left="720"/>
      <w:contextualSpacing/>
    </w:pPr>
  </w:style>
  <w:style w:type="character" w:styleId="Hyperlink">
    <w:name w:val="Hyperlink"/>
    <w:basedOn w:val="DefaultParagraphFont"/>
    <w:uiPriority w:val="99"/>
    <w:unhideWhenUsed/>
    <w:rsid w:val="001C2E7F"/>
    <w:rPr>
      <w:color w:val="0563C1" w:themeColor="hyperlink"/>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Char"/>
    <w:basedOn w:val="Normal"/>
    <w:link w:val="FootnoteTextChar"/>
    <w:uiPriority w:val="99"/>
    <w:unhideWhenUsed/>
    <w:qFormat/>
    <w:rsid w:val="001B1492"/>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Char Char1"/>
    <w:basedOn w:val="DefaultParagraphFont"/>
    <w:link w:val="FootnoteText"/>
    <w:uiPriority w:val="99"/>
    <w:rsid w:val="001B1492"/>
    <w:rPr>
      <w:rFonts w:ascii="Times New Roman" w:hAnsi="Times New Roman"/>
      <w:sz w:val="20"/>
      <w:szCs w:val="20"/>
    </w:rPr>
  </w:style>
  <w:style w:type="character" w:styleId="FootnoteReference">
    <w:name w:val="footnote reference"/>
    <w:aliases w:val="BVI fnr,ftref,Error-Fußnotenzeichen5,Error-Fußnotenzeichen6,Error-Fußnotenzeichen3,Footnote Reference1,Error-Fu?notenzeichen5,Error-Fu?notenzeichen6,Error-Fu?notenzeichen3,referencia nota al pie,Ref,de nota al pie,16 Point,R"/>
    <w:basedOn w:val="DefaultParagraphFont"/>
    <w:link w:val="BVIfnrChar1CharCharChar"/>
    <w:uiPriority w:val="99"/>
    <w:unhideWhenUsed/>
    <w:qFormat/>
    <w:rsid w:val="001B1492"/>
    <w:rPr>
      <w:vertAlign w:val="superscript"/>
    </w:rPr>
  </w:style>
  <w:style w:type="table" w:styleId="TableGrid">
    <w:name w:val="Table Grid"/>
    <w:basedOn w:val="TableNormal"/>
    <w:rsid w:val="001F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6548AA"/>
    <w:pPr>
      <w:spacing w:before="120" w:line="240" w:lineRule="exact"/>
      <w:jc w:val="both"/>
    </w:pPr>
    <w:rPr>
      <w:rFonts w:asciiTheme="minorHAnsi" w:hAnsiTheme="minorHAnsi"/>
      <w:vertAlign w:val="superscript"/>
    </w:rPr>
  </w:style>
  <w:style w:type="character" w:customStyle="1" w:styleId="ListParagraphChar">
    <w:name w:val="List Paragraph Char"/>
    <w:aliases w:val="Bullet Points Char,Liste Paragraf Char,List Paragraph1 Char,PDP DOCUMENT SUBTITLE Char,Heading 21 Char,Heading 211 Char,heading 2 Char"/>
    <w:link w:val="ListParagraph"/>
    <w:uiPriority w:val="34"/>
    <w:locked/>
    <w:rsid w:val="006548AA"/>
    <w:rPr>
      <w:rFonts w:ascii="Times New Roman" w:hAnsi="Times New Roman"/>
    </w:rPr>
  </w:style>
  <w:style w:type="paragraph" w:styleId="EndnoteText">
    <w:name w:val="endnote text"/>
    <w:basedOn w:val="Normal"/>
    <w:link w:val="EndnoteTextChar"/>
    <w:uiPriority w:val="99"/>
    <w:semiHidden/>
    <w:unhideWhenUsed/>
    <w:rsid w:val="007125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B7"/>
    <w:rPr>
      <w:rFonts w:ascii="Times New Roman" w:hAnsi="Times New Roman"/>
      <w:sz w:val="20"/>
      <w:szCs w:val="20"/>
    </w:rPr>
  </w:style>
  <w:style w:type="character" w:styleId="EndnoteReference">
    <w:name w:val="endnote reference"/>
    <w:basedOn w:val="DefaultParagraphFont"/>
    <w:uiPriority w:val="99"/>
    <w:semiHidden/>
    <w:unhideWhenUsed/>
    <w:rsid w:val="00712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6181-B363-4F02-9B27-3D5D72F9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HUBANA Tarik (EEAS-SARAJEVO)</dc:creator>
  <cp:keywords/>
  <dc:description/>
  <cp:lastModifiedBy>PASALIC Aida (EEAS-SARAJEVO)</cp:lastModifiedBy>
  <cp:revision>3</cp:revision>
  <cp:lastPrinted>2023-06-06T12:24:00Z</cp:lastPrinted>
  <dcterms:created xsi:type="dcterms:W3CDTF">2023-07-05T09:37:00Z</dcterms:created>
  <dcterms:modified xsi:type="dcterms:W3CDTF">2023-07-05T09:52:00Z</dcterms:modified>
</cp:coreProperties>
</file>